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92" w:rsidRDefault="002821B8" w:rsidP="00825FFB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Science </w:t>
      </w:r>
      <w:r w:rsidR="00F02A17">
        <w:rPr>
          <w:b/>
          <w:color w:val="000000" w:themeColor="text1"/>
        </w:rPr>
        <w:t>Relocation</w:t>
      </w:r>
      <w:r w:rsidR="00713892">
        <w:rPr>
          <w:b/>
          <w:color w:val="000000" w:themeColor="text1"/>
        </w:rPr>
        <w:t xml:space="preserve"> Pack</w:t>
      </w:r>
    </w:p>
    <w:p w:rsidR="00713892" w:rsidRDefault="002E0890" w:rsidP="00825FFB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Year 7</w:t>
      </w:r>
      <w:r w:rsidR="00713892">
        <w:rPr>
          <w:b/>
          <w:color w:val="000000" w:themeColor="text1"/>
        </w:rPr>
        <w:t xml:space="preserve"> – </w:t>
      </w:r>
      <w:r w:rsidR="00565754">
        <w:rPr>
          <w:b/>
          <w:color w:val="000000" w:themeColor="text1"/>
        </w:rPr>
        <w:t>Energy</w:t>
      </w:r>
    </w:p>
    <w:p w:rsidR="00713892" w:rsidRDefault="00565754" w:rsidP="00825FFB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Spring 2</w:t>
      </w:r>
    </w:p>
    <w:p w:rsidR="009400D0" w:rsidRDefault="009400D0" w:rsidP="009400D0">
      <w:pPr>
        <w:spacing w:after="0" w:line="240" w:lineRule="auto"/>
        <w:rPr>
          <w:b/>
          <w:color w:val="000000" w:themeColor="text1"/>
        </w:rPr>
      </w:pPr>
    </w:p>
    <w:p w:rsidR="00713892" w:rsidRDefault="00713892" w:rsidP="0005198A">
      <w:pPr>
        <w:spacing w:after="0" w:line="240" w:lineRule="auto"/>
        <w:rPr>
          <w:b/>
          <w:color w:val="000000" w:themeColor="text1"/>
        </w:rPr>
      </w:pPr>
    </w:p>
    <w:p w:rsidR="00BD3C84" w:rsidRDefault="009400D0" w:rsidP="004E7C3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The Knowledge</w:t>
      </w:r>
      <w:r w:rsidR="00F02A17">
        <w:rPr>
          <w:b/>
          <w:color w:val="000000" w:themeColor="text1"/>
        </w:rPr>
        <w:t xml:space="preserve"> - Instructions</w:t>
      </w:r>
    </w:p>
    <w:p w:rsidR="00F02A17" w:rsidRDefault="00F02A17" w:rsidP="004E7C35">
      <w:pPr>
        <w:spacing w:after="0" w:line="240" w:lineRule="auto"/>
        <w:rPr>
          <w:b/>
          <w:color w:val="000000" w:themeColor="text1"/>
        </w:rPr>
      </w:pPr>
    </w:p>
    <w:p w:rsidR="00F02A17" w:rsidRPr="00F02A17" w:rsidRDefault="00F02A17" w:rsidP="004E7C35">
      <w:pPr>
        <w:spacing w:after="0" w:line="240" w:lineRule="auto"/>
        <w:rPr>
          <w:color w:val="000000" w:themeColor="text1"/>
        </w:rPr>
      </w:pPr>
      <w:r w:rsidRPr="00F02A17">
        <w:rPr>
          <w:color w:val="000000" w:themeColor="text1"/>
        </w:rPr>
        <w:t>Use LCWC to embed the knowledge into your long-t</w:t>
      </w:r>
      <w:r w:rsidR="00A242FD">
        <w:rPr>
          <w:color w:val="000000" w:themeColor="text1"/>
        </w:rPr>
        <w:t>erm memory. You can do this in your relocation booklet.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4790"/>
        <w:gridCol w:w="5205"/>
      </w:tblGrid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Topic: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Energy (P.7)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Name seven energy stores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Thermal (internal), chemical, kinetic, gravitational potential, elastic potential, electrostatic potential, magnetic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"conservation of energy"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Energy cannot be created or destroyed; it can only be transferred, stored or dissipated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"dissipated"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Spread out wastefully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State the equation for efficiency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Efficiency= useful energy output/total energy input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"energy transfer"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Energy being converted from one energy store to another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"kinetic energy store"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The energy of a moving object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"internal (thermal) energy store"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Total kinetic and potential energy of the particles in an object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"gravitational potential energy store"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The energy of an object at height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"elastic potential energy store"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The energy stored when an object is stretched or squashed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Name the diagram used to represent energy transfer (Ext)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Sankey diagram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Topic: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Heating and cooling (P.8)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"conduction"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Transfer of thermal energy by the vibration of particles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"convection"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Transfer of thermal energy when particles in a heated fluid (liquid or gas) rise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"radiation"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Transfer of thermal energy as a wave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"thermal conductor"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Material that allows heat to move quickly through it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"thermal insulator"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Material that allows heat to travel slowly though it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In which states can convection occur?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Liquids and gases (fluids)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"temperature"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 measure of the motion and energy of the particles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State the standard unit of temperature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Degrees Celsius (</w:t>
            </w:r>
            <w:proofErr w:type="spellStart"/>
            <w:r>
              <w:rPr>
                <w:rFonts w:ascii="Arial" w:hAnsi="Arial" w:cs="Arial"/>
                <w:color w:val="000000"/>
              </w:rPr>
              <w:t>oC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"thermal (internal) energy"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Quantity of energy stored in a substance due to the vibration of its particles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State the standard unit of thermal (internal) energy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Joules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Topic: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Energy Sources (P.9)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"renewable energy resource"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An energy resource that can be replaced and will not run out.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 Define " </w:t>
            </w:r>
            <w:proofErr w:type="spellStart"/>
            <w:r>
              <w:rPr>
                <w:rFonts w:ascii="Arial" w:hAnsi="Arial" w:cs="Arial"/>
                <w:color w:val="000000"/>
              </w:rPr>
              <w:t>Non renewable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energy resource"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An energy resource that cannot be replaced and will be used up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State four examples of non-renewable energy resources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Coal, oil, natural gas, nuclear power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State six examples of renewable energy resources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Solar, wind, waves, hydroelectric, geothermal, biomass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State the three fossil fuels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Coal, oil, natural gas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State two disadvantages of using fossil fuels to generate electricity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Releases greenhouse gases, non-renewable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Define "power"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How quickly energy is transferred by a device 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State the standard unit of power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Watt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State the equation to calculate the cost of energy at home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Cost=power(kw) x time(hours) x price(per kWh)</w:t>
            </w:r>
          </w:p>
        </w:tc>
      </w:tr>
      <w:tr w:rsidR="00565754" w:rsidRPr="008E3FBC" w:rsidTr="006B6753">
        <w:trPr>
          <w:trHeight w:val="20"/>
        </w:trPr>
        <w:tc>
          <w:tcPr>
            <w:tcW w:w="0" w:type="auto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90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How do you convert watts into kilowatts?</w:t>
            </w:r>
          </w:p>
        </w:tc>
        <w:tc>
          <w:tcPr>
            <w:tcW w:w="5205" w:type="dxa"/>
            <w:vAlign w:val="center"/>
          </w:tcPr>
          <w:p w:rsidR="00565754" w:rsidRPr="008E3FBC" w:rsidRDefault="00565754" w:rsidP="006B67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Divide by 1000</w:t>
            </w:r>
          </w:p>
        </w:tc>
      </w:tr>
    </w:tbl>
    <w:p w:rsidR="00565754" w:rsidRDefault="00565754" w:rsidP="00565754">
      <w:pPr>
        <w:spacing w:after="0" w:line="240" w:lineRule="auto"/>
        <w:rPr>
          <w:b/>
          <w:color w:val="000000" w:themeColor="text1"/>
        </w:rPr>
      </w:pPr>
    </w:p>
    <w:p w:rsidR="004E7C35" w:rsidRDefault="004E7C35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05198A" w:rsidRDefault="0005198A" w:rsidP="0005198A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Learning Ladder - Instructions</w:t>
      </w:r>
    </w:p>
    <w:p w:rsidR="0005198A" w:rsidRPr="0005198A" w:rsidRDefault="0005198A" w:rsidP="00787608">
      <w:pPr>
        <w:spacing w:after="0" w:line="240" w:lineRule="auto"/>
        <w:rPr>
          <w:color w:val="000000" w:themeColor="text1"/>
        </w:rPr>
      </w:pPr>
      <w:r w:rsidRPr="0005198A">
        <w:rPr>
          <w:color w:val="000000" w:themeColor="text1"/>
        </w:rPr>
        <w:t>These are all the things that you need to able to do securely to make excellent progress in science.</w:t>
      </w:r>
      <w:r>
        <w:rPr>
          <w:color w:val="000000" w:themeColor="text1"/>
        </w:rPr>
        <w:t xml:space="preserve"> You should read through each statement in the first column and prove that you can do it by completing the task in the second </w:t>
      </w:r>
      <w:r w:rsidR="00787608">
        <w:rPr>
          <w:color w:val="000000" w:themeColor="text1"/>
        </w:rPr>
        <w:t>column.</w:t>
      </w:r>
    </w:p>
    <w:p w:rsidR="0005198A" w:rsidRDefault="0005198A" w:rsidP="004E7C35">
      <w:pPr>
        <w:spacing w:after="0" w:line="240" w:lineRule="auto"/>
        <w:rPr>
          <w:color w:val="000000" w:themeColor="text1"/>
        </w:rPr>
      </w:pPr>
    </w:p>
    <w:p w:rsidR="00787608" w:rsidRDefault="00787608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65754" w:rsidRDefault="00565754" w:rsidP="004E7C35">
      <w:pPr>
        <w:spacing w:after="0" w:line="240" w:lineRule="auto"/>
        <w:rPr>
          <w:color w:val="000000" w:themeColor="text1"/>
        </w:rPr>
      </w:pPr>
    </w:p>
    <w:p w:rsidR="005F033F" w:rsidRDefault="005F033F" w:rsidP="004E7C35">
      <w:pPr>
        <w:spacing w:after="0" w:line="240" w:lineRule="auto"/>
        <w:rPr>
          <w:color w:val="000000" w:themeColor="text1"/>
        </w:rPr>
      </w:pPr>
    </w:p>
    <w:p w:rsidR="005F033F" w:rsidRDefault="005F033F" w:rsidP="004E7C35">
      <w:pPr>
        <w:spacing w:after="0" w:line="240" w:lineRule="auto"/>
        <w:rPr>
          <w:color w:val="000000" w:themeColor="text1"/>
        </w:rPr>
      </w:pPr>
    </w:p>
    <w:p w:rsidR="005F033F" w:rsidRDefault="005F033F" w:rsidP="004E7C35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lastRenderedPageBreak/>
        <w:drawing>
          <wp:inline distT="0" distB="0" distL="0" distR="0">
            <wp:extent cx="6407150" cy="9187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L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740" cy="920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3F" w:rsidRDefault="005F033F" w:rsidP="004E7C35">
      <w:pPr>
        <w:spacing w:after="0" w:line="240" w:lineRule="auto"/>
        <w:rPr>
          <w:color w:val="000000" w:themeColor="text1"/>
        </w:rPr>
      </w:pPr>
    </w:p>
    <w:p w:rsidR="005F033F" w:rsidRDefault="005F033F" w:rsidP="004E7C35">
      <w:pPr>
        <w:spacing w:after="0" w:line="240" w:lineRule="auto"/>
        <w:rPr>
          <w:color w:val="000000" w:themeColor="text1"/>
        </w:rPr>
      </w:pPr>
    </w:p>
    <w:p w:rsidR="005F033F" w:rsidRDefault="005F033F" w:rsidP="004E7C35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lastRenderedPageBreak/>
        <w:drawing>
          <wp:inline distT="0" distB="0" distL="0" distR="0">
            <wp:extent cx="6781800" cy="85549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L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560" cy="856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33F" w:rsidSect="0065115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8A" w:rsidRDefault="0005198A" w:rsidP="008E5D9F">
      <w:pPr>
        <w:spacing w:after="0" w:line="240" w:lineRule="auto"/>
      </w:pPr>
      <w:r>
        <w:separator/>
      </w:r>
    </w:p>
  </w:endnote>
  <w:endnote w:type="continuationSeparator" w:id="0">
    <w:p w:rsidR="0005198A" w:rsidRDefault="0005198A" w:rsidP="008E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8A" w:rsidRPr="008E5D9F" w:rsidRDefault="0005198A" w:rsidP="008E5D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5975498</wp:posOffset>
          </wp:positionH>
          <wp:positionV relativeFrom="paragraph">
            <wp:posOffset>-406740</wp:posOffset>
          </wp:positionV>
          <wp:extent cx="733578" cy="733297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ubject Icons_Science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78" cy="73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8A" w:rsidRDefault="0005198A" w:rsidP="008E5D9F">
      <w:pPr>
        <w:spacing w:after="0" w:line="240" w:lineRule="auto"/>
      </w:pPr>
      <w:r>
        <w:separator/>
      </w:r>
    </w:p>
  </w:footnote>
  <w:footnote w:type="continuationSeparator" w:id="0">
    <w:p w:rsidR="0005198A" w:rsidRDefault="0005198A" w:rsidP="008E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2F1"/>
    <w:multiLevelType w:val="hybridMultilevel"/>
    <w:tmpl w:val="F37A1A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36E"/>
    <w:multiLevelType w:val="hybridMultilevel"/>
    <w:tmpl w:val="FAF8C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02D3"/>
    <w:multiLevelType w:val="hybridMultilevel"/>
    <w:tmpl w:val="C5B40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AE4"/>
    <w:multiLevelType w:val="hybridMultilevel"/>
    <w:tmpl w:val="75803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5C1"/>
    <w:multiLevelType w:val="hybridMultilevel"/>
    <w:tmpl w:val="D74E7A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4DD8"/>
    <w:multiLevelType w:val="hybridMultilevel"/>
    <w:tmpl w:val="6D6C59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519"/>
    <w:multiLevelType w:val="hybridMultilevel"/>
    <w:tmpl w:val="BC1AAD1A"/>
    <w:lvl w:ilvl="0" w:tplc="CC1010CC">
      <w:start w:val="2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70C"/>
    <w:multiLevelType w:val="hybridMultilevel"/>
    <w:tmpl w:val="AC826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811"/>
    <w:multiLevelType w:val="hybridMultilevel"/>
    <w:tmpl w:val="D33C60F2"/>
    <w:lvl w:ilvl="0" w:tplc="8AD0E32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11C2"/>
    <w:multiLevelType w:val="hybridMultilevel"/>
    <w:tmpl w:val="6F00D0DE"/>
    <w:lvl w:ilvl="0" w:tplc="6A00E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046B"/>
    <w:multiLevelType w:val="hybridMultilevel"/>
    <w:tmpl w:val="36E67E5E"/>
    <w:lvl w:ilvl="0" w:tplc="C3DC60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4218"/>
    <w:multiLevelType w:val="hybridMultilevel"/>
    <w:tmpl w:val="6A581882"/>
    <w:lvl w:ilvl="0" w:tplc="2EBEAB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304E3"/>
    <w:multiLevelType w:val="hybridMultilevel"/>
    <w:tmpl w:val="19D43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04B"/>
    <w:multiLevelType w:val="hybridMultilevel"/>
    <w:tmpl w:val="62884F58"/>
    <w:lvl w:ilvl="0" w:tplc="C35A1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8658D"/>
    <w:multiLevelType w:val="hybridMultilevel"/>
    <w:tmpl w:val="9404E190"/>
    <w:lvl w:ilvl="0" w:tplc="1A86E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B055E"/>
    <w:multiLevelType w:val="hybridMultilevel"/>
    <w:tmpl w:val="592E9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66C6"/>
    <w:multiLevelType w:val="hybridMultilevel"/>
    <w:tmpl w:val="AC826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A2DF5"/>
    <w:multiLevelType w:val="hybridMultilevel"/>
    <w:tmpl w:val="39FE3E98"/>
    <w:lvl w:ilvl="0" w:tplc="BF7A657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72700"/>
    <w:multiLevelType w:val="hybridMultilevel"/>
    <w:tmpl w:val="54408B5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3596D"/>
    <w:multiLevelType w:val="hybridMultilevel"/>
    <w:tmpl w:val="29D07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D39F8"/>
    <w:multiLevelType w:val="hybridMultilevel"/>
    <w:tmpl w:val="18AE2A8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13064"/>
    <w:multiLevelType w:val="hybridMultilevel"/>
    <w:tmpl w:val="F0E64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703B"/>
    <w:multiLevelType w:val="hybridMultilevel"/>
    <w:tmpl w:val="8B443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89F"/>
    <w:multiLevelType w:val="hybridMultilevel"/>
    <w:tmpl w:val="0F547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2762D"/>
    <w:multiLevelType w:val="hybridMultilevel"/>
    <w:tmpl w:val="3E9C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012F1"/>
    <w:multiLevelType w:val="hybridMultilevel"/>
    <w:tmpl w:val="3C1668AC"/>
    <w:lvl w:ilvl="0" w:tplc="51BAD7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6C5458"/>
    <w:multiLevelType w:val="hybridMultilevel"/>
    <w:tmpl w:val="C598F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17"/>
  </w:num>
  <w:num w:numId="10">
    <w:abstractNumId w:val="24"/>
  </w:num>
  <w:num w:numId="11">
    <w:abstractNumId w:val="22"/>
  </w:num>
  <w:num w:numId="12">
    <w:abstractNumId w:val="23"/>
  </w:num>
  <w:num w:numId="13">
    <w:abstractNumId w:val="26"/>
  </w:num>
  <w:num w:numId="14">
    <w:abstractNumId w:val="12"/>
  </w:num>
  <w:num w:numId="15">
    <w:abstractNumId w:val="5"/>
  </w:num>
  <w:num w:numId="16">
    <w:abstractNumId w:val="14"/>
  </w:num>
  <w:num w:numId="17">
    <w:abstractNumId w:val="9"/>
  </w:num>
  <w:num w:numId="18">
    <w:abstractNumId w:val="10"/>
  </w:num>
  <w:num w:numId="19">
    <w:abstractNumId w:val="13"/>
  </w:num>
  <w:num w:numId="20">
    <w:abstractNumId w:val="21"/>
  </w:num>
  <w:num w:numId="21">
    <w:abstractNumId w:val="2"/>
  </w:num>
  <w:num w:numId="22">
    <w:abstractNumId w:val="1"/>
  </w:num>
  <w:num w:numId="23">
    <w:abstractNumId w:val="25"/>
  </w:num>
  <w:num w:numId="24">
    <w:abstractNumId w:val="15"/>
  </w:num>
  <w:num w:numId="25">
    <w:abstractNumId w:val="18"/>
  </w:num>
  <w:num w:numId="26">
    <w:abstractNumId w:val="11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0B"/>
    <w:rsid w:val="0000029C"/>
    <w:rsid w:val="00003B55"/>
    <w:rsid w:val="00007EB6"/>
    <w:rsid w:val="00011560"/>
    <w:rsid w:val="00020510"/>
    <w:rsid w:val="00026E95"/>
    <w:rsid w:val="00033035"/>
    <w:rsid w:val="0003512F"/>
    <w:rsid w:val="0005198A"/>
    <w:rsid w:val="00054B8D"/>
    <w:rsid w:val="00054FD6"/>
    <w:rsid w:val="00063C3F"/>
    <w:rsid w:val="00063EB4"/>
    <w:rsid w:val="0006699B"/>
    <w:rsid w:val="00083D0B"/>
    <w:rsid w:val="000C433C"/>
    <w:rsid w:val="000C5FCC"/>
    <w:rsid w:val="000D0C97"/>
    <w:rsid w:val="00105884"/>
    <w:rsid w:val="00130864"/>
    <w:rsid w:val="00155207"/>
    <w:rsid w:val="00165CD5"/>
    <w:rsid w:val="001765C6"/>
    <w:rsid w:val="00180148"/>
    <w:rsid w:val="00185B51"/>
    <w:rsid w:val="00187546"/>
    <w:rsid w:val="00194324"/>
    <w:rsid w:val="001963CB"/>
    <w:rsid w:val="001A10D4"/>
    <w:rsid w:val="001A29D3"/>
    <w:rsid w:val="001A5D38"/>
    <w:rsid w:val="001B0C70"/>
    <w:rsid w:val="001B3522"/>
    <w:rsid w:val="001D28ED"/>
    <w:rsid w:val="001E41D6"/>
    <w:rsid w:val="001F2E6E"/>
    <w:rsid w:val="00206F28"/>
    <w:rsid w:val="00220A1A"/>
    <w:rsid w:val="002212AB"/>
    <w:rsid w:val="002241C9"/>
    <w:rsid w:val="00245049"/>
    <w:rsid w:val="00251568"/>
    <w:rsid w:val="00267ED3"/>
    <w:rsid w:val="00270E0B"/>
    <w:rsid w:val="002721F5"/>
    <w:rsid w:val="002804DB"/>
    <w:rsid w:val="002821B8"/>
    <w:rsid w:val="00292143"/>
    <w:rsid w:val="002B412F"/>
    <w:rsid w:val="002E0890"/>
    <w:rsid w:val="002E1BFF"/>
    <w:rsid w:val="002E282C"/>
    <w:rsid w:val="002F3AA4"/>
    <w:rsid w:val="003059E6"/>
    <w:rsid w:val="003103D0"/>
    <w:rsid w:val="00321699"/>
    <w:rsid w:val="00327C42"/>
    <w:rsid w:val="00330D4A"/>
    <w:rsid w:val="00333321"/>
    <w:rsid w:val="00341A56"/>
    <w:rsid w:val="00346310"/>
    <w:rsid w:val="00346DBF"/>
    <w:rsid w:val="00347D20"/>
    <w:rsid w:val="003520D4"/>
    <w:rsid w:val="003657A6"/>
    <w:rsid w:val="00376833"/>
    <w:rsid w:val="00386091"/>
    <w:rsid w:val="003A4A8C"/>
    <w:rsid w:val="003A7607"/>
    <w:rsid w:val="003C008A"/>
    <w:rsid w:val="003C1B7D"/>
    <w:rsid w:val="003D69DA"/>
    <w:rsid w:val="003E1F75"/>
    <w:rsid w:val="003E2C9A"/>
    <w:rsid w:val="003E7817"/>
    <w:rsid w:val="003F2977"/>
    <w:rsid w:val="003F7DBC"/>
    <w:rsid w:val="004023CD"/>
    <w:rsid w:val="00424FD3"/>
    <w:rsid w:val="0045451A"/>
    <w:rsid w:val="00461234"/>
    <w:rsid w:val="004733C7"/>
    <w:rsid w:val="004772B5"/>
    <w:rsid w:val="00484C6B"/>
    <w:rsid w:val="00485B50"/>
    <w:rsid w:val="00496C39"/>
    <w:rsid w:val="004A7B41"/>
    <w:rsid w:val="004B41A3"/>
    <w:rsid w:val="004B5F88"/>
    <w:rsid w:val="004C0CFB"/>
    <w:rsid w:val="004C3E8F"/>
    <w:rsid w:val="004C5306"/>
    <w:rsid w:val="004E7C35"/>
    <w:rsid w:val="004F516B"/>
    <w:rsid w:val="004F67EB"/>
    <w:rsid w:val="004F6C92"/>
    <w:rsid w:val="00501032"/>
    <w:rsid w:val="00502A5B"/>
    <w:rsid w:val="005178B9"/>
    <w:rsid w:val="00520D82"/>
    <w:rsid w:val="005232C9"/>
    <w:rsid w:val="00531C11"/>
    <w:rsid w:val="0053712A"/>
    <w:rsid w:val="005406CE"/>
    <w:rsid w:val="005436BB"/>
    <w:rsid w:val="00565754"/>
    <w:rsid w:val="00587405"/>
    <w:rsid w:val="0059535F"/>
    <w:rsid w:val="005959BE"/>
    <w:rsid w:val="005A0409"/>
    <w:rsid w:val="005C506C"/>
    <w:rsid w:val="005D65D5"/>
    <w:rsid w:val="005F033F"/>
    <w:rsid w:val="005F5842"/>
    <w:rsid w:val="005F70E4"/>
    <w:rsid w:val="00615FA6"/>
    <w:rsid w:val="006204E5"/>
    <w:rsid w:val="00623423"/>
    <w:rsid w:val="00636867"/>
    <w:rsid w:val="00647788"/>
    <w:rsid w:val="0065115D"/>
    <w:rsid w:val="0066663B"/>
    <w:rsid w:val="00672A76"/>
    <w:rsid w:val="00682981"/>
    <w:rsid w:val="006845BC"/>
    <w:rsid w:val="00687790"/>
    <w:rsid w:val="006A327E"/>
    <w:rsid w:val="006B3C28"/>
    <w:rsid w:val="006D4A89"/>
    <w:rsid w:val="006F369C"/>
    <w:rsid w:val="00701196"/>
    <w:rsid w:val="00701BCB"/>
    <w:rsid w:val="00713892"/>
    <w:rsid w:val="00715E71"/>
    <w:rsid w:val="00720290"/>
    <w:rsid w:val="007247D9"/>
    <w:rsid w:val="007327D3"/>
    <w:rsid w:val="00735424"/>
    <w:rsid w:val="007408DC"/>
    <w:rsid w:val="007458D8"/>
    <w:rsid w:val="007572B5"/>
    <w:rsid w:val="00767308"/>
    <w:rsid w:val="00771042"/>
    <w:rsid w:val="007716CF"/>
    <w:rsid w:val="00787608"/>
    <w:rsid w:val="00793003"/>
    <w:rsid w:val="007948BF"/>
    <w:rsid w:val="00796490"/>
    <w:rsid w:val="007A0FEE"/>
    <w:rsid w:val="007A7E78"/>
    <w:rsid w:val="007B64FF"/>
    <w:rsid w:val="007C231F"/>
    <w:rsid w:val="007D0529"/>
    <w:rsid w:val="007E2D28"/>
    <w:rsid w:val="007F2732"/>
    <w:rsid w:val="00810D68"/>
    <w:rsid w:val="008112B9"/>
    <w:rsid w:val="008161FE"/>
    <w:rsid w:val="00816D79"/>
    <w:rsid w:val="00824DF3"/>
    <w:rsid w:val="00825FFB"/>
    <w:rsid w:val="0083476C"/>
    <w:rsid w:val="00841236"/>
    <w:rsid w:val="00851175"/>
    <w:rsid w:val="008511F8"/>
    <w:rsid w:val="008527BF"/>
    <w:rsid w:val="00873E13"/>
    <w:rsid w:val="008851EC"/>
    <w:rsid w:val="00890707"/>
    <w:rsid w:val="00893901"/>
    <w:rsid w:val="008A0028"/>
    <w:rsid w:val="008C6064"/>
    <w:rsid w:val="008D4B21"/>
    <w:rsid w:val="008D5B3B"/>
    <w:rsid w:val="008D6911"/>
    <w:rsid w:val="008E5D9F"/>
    <w:rsid w:val="008E6B8C"/>
    <w:rsid w:val="008F1C6C"/>
    <w:rsid w:val="00906B98"/>
    <w:rsid w:val="009179D9"/>
    <w:rsid w:val="00933345"/>
    <w:rsid w:val="0093717E"/>
    <w:rsid w:val="009400D0"/>
    <w:rsid w:val="00940946"/>
    <w:rsid w:val="00954EA5"/>
    <w:rsid w:val="009577FE"/>
    <w:rsid w:val="009653A2"/>
    <w:rsid w:val="009725F9"/>
    <w:rsid w:val="009734FB"/>
    <w:rsid w:val="00980D4A"/>
    <w:rsid w:val="009958F4"/>
    <w:rsid w:val="009B5E18"/>
    <w:rsid w:val="00A0446E"/>
    <w:rsid w:val="00A235EF"/>
    <w:rsid w:val="00A242FD"/>
    <w:rsid w:val="00A2482E"/>
    <w:rsid w:val="00A26761"/>
    <w:rsid w:val="00A27A3A"/>
    <w:rsid w:val="00A40060"/>
    <w:rsid w:val="00A4783E"/>
    <w:rsid w:val="00A50A61"/>
    <w:rsid w:val="00A62308"/>
    <w:rsid w:val="00A71819"/>
    <w:rsid w:val="00A76EFC"/>
    <w:rsid w:val="00AC0DFC"/>
    <w:rsid w:val="00AC4F5A"/>
    <w:rsid w:val="00AE02EF"/>
    <w:rsid w:val="00AE19A2"/>
    <w:rsid w:val="00AE4AB9"/>
    <w:rsid w:val="00AF7908"/>
    <w:rsid w:val="00B01CDD"/>
    <w:rsid w:val="00B045D9"/>
    <w:rsid w:val="00B22321"/>
    <w:rsid w:val="00B22E36"/>
    <w:rsid w:val="00B24760"/>
    <w:rsid w:val="00B32467"/>
    <w:rsid w:val="00B423E0"/>
    <w:rsid w:val="00B55F15"/>
    <w:rsid w:val="00B6695C"/>
    <w:rsid w:val="00B7538F"/>
    <w:rsid w:val="00B80CF3"/>
    <w:rsid w:val="00B9583D"/>
    <w:rsid w:val="00BA26C0"/>
    <w:rsid w:val="00BA4E0A"/>
    <w:rsid w:val="00BB4230"/>
    <w:rsid w:val="00BC08DA"/>
    <w:rsid w:val="00BC3229"/>
    <w:rsid w:val="00BD3C84"/>
    <w:rsid w:val="00BD668F"/>
    <w:rsid w:val="00BE48BF"/>
    <w:rsid w:val="00BE6DAA"/>
    <w:rsid w:val="00BF4EFE"/>
    <w:rsid w:val="00C05A93"/>
    <w:rsid w:val="00C257E0"/>
    <w:rsid w:val="00C27E08"/>
    <w:rsid w:val="00C30897"/>
    <w:rsid w:val="00C33388"/>
    <w:rsid w:val="00C40853"/>
    <w:rsid w:val="00C5266B"/>
    <w:rsid w:val="00C66319"/>
    <w:rsid w:val="00C85EE9"/>
    <w:rsid w:val="00C86A58"/>
    <w:rsid w:val="00C91ECA"/>
    <w:rsid w:val="00C939BB"/>
    <w:rsid w:val="00C95C5C"/>
    <w:rsid w:val="00CA4D56"/>
    <w:rsid w:val="00CA7B64"/>
    <w:rsid w:val="00CB0D50"/>
    <w:rsid w:val="00CB6A2B"/>
    <w:rsid w:val="00CC2C83"/>
    <w:rsid w:val="00CD0269"/>
    <w:rsid w:val="00CD720B"/>
    <w:rsid w:val="00CE0EB2"/>
    <w:rsid w:val="00CE37E7"/>
    <w:rsid w:val="00CF339C"/>
    <w:rsid w:val="00D12C40"/>
    <w:rsid w:val="00D17FE6"/>
    <w:rsid w:val="00D26973"/>
    <w:rsid w:val="00D275A4"/>
    <w:rsid w:val="00D33477"/>
    <w:rsid w:val="00D35D49"/>
    <w:rsid w:val="00D53389"/>
    <w:rsid w:val="00D54BD9"/>
    <w:rsid w:val="00D5752E"/>
    <w:rsid w:val="00D63E28"/>
    <w:rsid w:val="00D66DBF"/>
    <w:rsid w:val="00D670DC"/>
    <w:rsid w:val="00D74EF8"/>
    <w:rsid w:val="00D76D1C"/>
    <w:rsid w:val="00D84772"/>
    <w:rsid w:val="00DA6146"/>
    <w:rsid w:val="00DC6460"/>
    <w:rsid w:val="00DD3CAB"/>
    <w:rsid w:val="00DE0952"/>
    <w:rsid w:val="00DE6A60"/>
    <w:rsid w:val="00DE6C13"/>
    <w:rsid w:val="00DF1004"/>
    <w:rsid w:val="00DF2035"/>
    <w:rsid w:val="00DF3074"/>
    <w:rsid w:val="00E007DA"/>
    <w:rsid w:val="00E00D47"/>
    <w:rsid w:val="00E0430E"/>
    <w:rsid w:val="00E070D2"/>
    <w:rsid w:val="00E12950"/>
    <w:rsid w:val="00E241AC"/>
    <w:rsid w:val="00E3517E"/>
    <w:rsid w:val="00E425D9"/>
    <w:rsid w:val="00E547A0"/>
    <w:rsid w:val="00E55890"/>
    <w:rsid w:val="00E667A1"/>
    <w:rsid w:val="00E85EE6"/>
    <w:rsid w:val="00E860BF"/>
    <w:rsid w:val="00E94184"/>
    <w:rsid w:val="00EA4BB0"/>
    <w:rsid w:val="00EE00E4"/>
    <w:rsid w:val="00EE3B28"/>
    <w:rsid w:val="00EE6134"/>
    <w:rsid w:val="00F00FE0"/>
    <w:rsid w:val="00F02A17"/>
    <w:rsid w:val="00F06BFD"/>
    <w:rsid w:val="00F14333"/>
    <w:rsid w:val="00F14B03"/>
    <w:rsid w:val="00F24E3D"/>
    <w:rsid w:val="00F302B6"/>
    <w:rsid w:val="00F34C5B"/>
    <w:rsid w:val="00F36052"/>
    <w:rsid w:val="00F46BDA"/>
    <w:rsid w:val="00F5617D"/>
    <w:rsid w:val="00F635DA"/>
    <w:rsid w:val="00F82117"/>
    <w:rsid w:val="00F8368E"/>
    <w:rsid w:val="00F85C89"/>
    <w:rsid w:val="00FC0677"/>
    <w:rsid w:val="00FD1276"/>
    <w:rsid w:val="00FD394F"/>
    <w:rsid w:val="00FD56AF"/>
    <w:rsid w:val="00FE518C"/>
    <w:rsid w:val="00FE7CAA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40196C"/>
  <w15:chartTrackingRefBased/>
  <w15:docId w15:val="{A4AF7919-832D-46FF-A8FB-5DF0630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E7CAA"/>
  </w:style>
  <w:style w:type="paragraph" w:styleId="ListParagraph">
    <w:name w:val="List Paragraph"/>
    <w:basedOn w:val="Normal"/>
    <w:uiPriority w:val="34"/>
    <w:qFormat/>
    <w:rsid w:val="00D1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9F"/>
  </w:style>
  <w:style w:type="paragraph" w:styleId="Footer">
    <w:name w:val="footer"/>
    <w:basedOn w:val="Normal"/>
    <w:link w:val="Foot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9F"/>
  </w:style>
  <w:style w:type="paragraph" w:styleId="BalloonText">
    <w:name w:val="Balloon Text"/>
    <w:basedOn w:val="Normal"/>
    <w:link w:val="BalloonTextChar"/>
    <w:uiPriority w:val="99"/>
    <w:semiHidden/>
    <w:unhideWhenUsed/>
    <w:rsid w:val="0005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GridTable1Light-Accent5">
    <w:name w:val="Grid Table 1 Light Accent 5"/>
    <w:basedOn w:val="TableNormal"/>
    <w:uiPriority w:val="46"/>
    <w:rsid w:val="004733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B423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12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E0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2238-5407-435A-BF72-25DE25555648}"/>
</file>

<file path=customXml/itemProps2.xml><?xml version="1.0" encoding="utf-8"?>
<ds:datastoreItem xmlns:ds="http://schemas.openxmlformats.org/officeDocument/2006/customXml" ds:itemID="{9DA0B524-C65C-4621-8F78-899597A38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BEC07-FB8F-40F3-A3E3-3543FAEDDB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01ac9f-9019-4c5e-a6cd-cbcde5ee38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148B30-BF17-4B5C-88C4-B6EF82FB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Hannah-Beth Clark</dc:creator>
  <cp:keywords/>
  <dc:description/>
  <cp:lastModifiedBy>Sebastian Zabilowicz</cp:lastModifiedBy>
  <cp:revision>5</cp:revision>
  <cp:lastPrinted>2017-03-13T08:27:00Z</cp:lastPrinted>
  <dcterms:created xsi:type="dcterms:W3CDTF">2020-01-06T13:28:00Z</dcterms:created>
  <dcterms:modified xsi:type="dcterms:W3CDTF">2020-02-26T17:05:00Z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  <property fmtid="{D5CDD505-2E9C-101B-9397-08002B2CF9AE}" pid="3" name="_DocHome">
    <vt:i4>1562564510</vt:i4>
  </property>
</Properties>
</file>